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3F" w:rsidRPr="006E4AB1" w:rsidRDefault="00E67B9F" w:rsidP="00491B36">
      <w:pPr>
        <w:spacing w:line="240" w:lineRule="auto"/>
        <w:jc w:val="right"/>
      </w:pPr>
      <w:r>
        <w:t>Szczecin, 15</w:t>
      </w:r>
      <w:bookmarkStart w:id="0" w:name="_GoBack"/>
      <w:bookmarkEnd w:id="0"/>
      <w:r w:rsidR="007A4ACA">
        <w:t>.11</w:t>
      </w:r>
      <w:r w:rsidR="002167A0" w:rsidRPr="006E4AB1">
        <w:t>.2013 r.</w:t>
      </w:r>
    </w:p>
    <w:p w:rsidR="00491B36" w:rsidRPr="001275E4" w:rsidRDefault="00E67B9F" w:rsidP="001275E4">
      <w:pPr>
        <w:spacing w:line="240" w:lineRule="auto"/>
        <w:jc w:val="center"/>
        <w:rPr>
          <w:b/>
        </w:rPr>
      </w:pPr>
      <w:r>
        <w:rPr>
          <w:b/>
        </w:rPr>
        <w:t>Komponenty elektroniczne</w:t>
      </w:r>
      <w:r w:rsidR="001275E4" w:rsidRPr="001275E4">
        <w:rPr>
          <w:b/>
        </w:rPr>
        <w:t>.</w:t>
      </w:r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t xml:space="preserve">ZAMAWIAJĄCY </w:t>
      </w:r>
    </w:p>
    <w:p w:rsidR="00491B36" w:rsidRPr="00491B36" w:rsidRDefault="00491B36" w:rsidP="00491B36">
      <w:pPr>
        <w:spacing w:line="240" w:lineRule="auto"/>
      </w:pPr>
      <w:r w:rsidRPr="00491B36">
        <w:t xml:space="preserve">Zachodniopomorski Uniwersytet Technologiczny w Szczecinie </w:t>
      </w:r>
    </w:p>
    <w:p w:rsidR="00491B36" w:rsidRPr="00491B36" w:rsidRDefault="00491B36" w:rsidP="00491B36">
      <w:pPr>
        <w:spacing w:line="240" w:lineRule="auto"/>
      </w:pPr>
      <w:r w:rsidRPr="00491B36">
        <w:t xml:space="preserve">Wydział </w:t>
      </w:r>
      <w:r>
        <w:t>Elektryczny</w:t>
      </w:r>
      <w:r w:rsidRPr="00491B36">
        <w:t xml:space="preserve"> </w:t>
      </w:r>
    </w:p>
    <w:p w:rsidR="002167A0" w:rsidRDefault="00491B36" w:rsidP="00491B36">
      <w:pPr>
        <w:spacing w:line="240" w:lineRule="auto"/>
      </w:pPr>
      <w:r>
        <w:t>ul. Sikorskiego 37, 70-313 Szczecin</w:t>
      </w:r>
    </w:p>
    <w:p w:rsidR="00491B36" w:rsidRPr="00491B36" w:rsidRDefault="00491B36" w:rsidP="00491B36">
      <w:pPr>
        <w:spacing w:line="240" w:lineRule="auto"/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Osoby uprawnione do kontaktu z O</w:t>
      </w:r>
      <w:r>
        <w:rPr>
          <w:b/>
        </w:rPr>
        <w:t>ferentami:</w:t>
      </w:r>
    </w:p>
    <w:p w:rsidR="00491B36" w:rsidRPr="006E4AB1" w:rsidRDefault="00491B36" w:rsidP="00491B36">
      <w:pPr>
        <w:spacing w:line="240" w:lineRule="auto"/>
        <w:rPr>
          <w:lang w:val="en-US"/>
        </w:rPr>
      </w:pPr>
      <w:r w:rsidRPr="006E4AB1">
        <w:rPr>
          <w:lang w:val="en-US"/>
        </w:rPr>
        <w:t>Danie</w:t>
      </w:r>
      <w:r w:rsidR="006E4AB1" w:rsidRPr="006E4AB1">
        <w:rPr>
          <w:lang w:val="en-US"/>
        </w:rPr>
        <w:t>l</w:t>
      </w:r>
      <w:r w:rsidRPr="006E4AB1">
        <w:rPr>
          <w:lang w:val="en-US"/>
        </w:rPr>
        <w:t xml:space="preserve"> Matias – </w:t>
      </w:r>
      <w:hyperlink r:id="rId9" w:history="1">
        <w:r w:rsidRPr="006E4AB1">
          <w:rPr>
            <w:rStyle w:val="Hipercze"/>
            <w:lang w:val="en-US"/>
          </w:rPr>
          <w:t>matias@copernicus.net.pl</w:t>
        </w:r>
      </w:hyperlink>
      <w:r w:rsidRPr="006E4AB1">
        <w:rPr>
          <w:lang w:val="en-US"/>
        </w:rPr>
        <w:t xml:space="preserve"> </w:t>
      </w:r>
    </w:p>
    <w:p w:rsidR="00491B36" w:rsidRPr="006E4AB1" w:rsidRDefault="00491B36" w:rsidP="00491B36">
      <w:pPr>
        <w:spacing w:line="240" w:lineRule="auto"/>
        <w:rPr>
          <w:b/>
          <w:lang w:val="en-US"/>
        </w:rPr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OPIS PRZEDMIOTU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7140"/>
        <w:gridCol w:w="620"/>
      </w:tblGrid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proofErr w:type="spellStart"/>
            <w:r w:rsidRPr="00E67B9F">
              <w:t>Lp</w:t>
            </w:r>
            <w:proofErr w:type="spellEnd"/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Opis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Ilość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Laminat jednostronny 1,5mm, 210x297mm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10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Laminat jednostronny 1,0mm, 210x297mm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Laminat </w:t>
            </w:r>
            <w:proofErr w:type="spellStart"/>
            <w:r w:rsidRPr="00E67B9F">
              <w:t>jednostr</w:t>
            </w:r>
            <w:proofErr w:type="spellEnd"/>
            <w:r w:rsidRPr="00E67B9F">
              <w:t>. 1,5mm, 210x300mm, światłoczuły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Laminat </w:t>
            </w:r>
            <w:proofErr w:type="spellStart"/>
            <w:r w:rsidRPr="00E67B9F">
              <w:t>dwustr</w:t>
            </w:r>
            <w:proofErr w:type="spellEnd"/>
            <w:r w:rsidRPr="00E67B9F">
              <w:t>. 1,5mm, 200x300mm, światłoczuły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Laminat dwustronny 1mm, 210x297mm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6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Laminat dwustronny 1,5mm, 210x297mm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7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Wytrawiacz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10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8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Topnik RF800, 15ml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3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9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Topnik RF800, 100 ml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10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Lakier światłoczuły </w:t>
            </w:r>
            <w:proofErr w:type="spellStart"/>
            <w:r w:rsidRPr="00E67B9F">
              <w:t>Positiv</w:t>
            </w:r>
            <w:proofErr w:type="spellEnd"/>
            <w:r w:rsidRPr="00E67B9F">
              <w:t xml:space="preserve"> 20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11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Preparat czyszczący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12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Spoiwo SMD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13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Spoiwo SMD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14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Spoiwo drut 0,25mm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15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Spoiwo drut 0,7mm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16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Spoiwo drut 1,5mm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17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Tulejka stacji lutowniczej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18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Grot lutownicy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lastRenderedPageBreak/>
              <w:t>19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Grot lutownicy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20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Grot lutownicy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21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Grot lutownicy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22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Stacja lutownicza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23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Złącze BNC do lutowania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10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24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Złącze BNC do lutowania, kątowe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10</w:t>
            </w:r>
          </w:p>
        </w:tc>
      </w:tr>
      <w:tr w:rsidR="00E67B9F" w:rsidRPr="00E67B9F" w:rsidTr="00E67B9F">
        <w:trPr>
          <w:trHeight w:val="323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25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Wtyk BNC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25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26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Wtyk BNC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20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27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Preparat ochronny PLASTIK 70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28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Preparat ochronny PLASTIK 70 rozcieńczalnik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29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Taśma: rozlutowująca; W:1,5mm; L:30m 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30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Taśma: rozlutowująca; kalafoniowy; W:0,8mm; L:3m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31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AG TERMOPASTY KALAFONIA-500 - Topnik: kalafoniowy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32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Pęseta:115mm; Ostrza: proste, wąskie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33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IDEAL-TEK 30D.SA - Pęseta; 155mm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34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IDEAL-TEK 572.SA - Pęseta; 145mm; Ostrza: proste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35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IDEAL-TEK 59A.SA - Pęseta; 120mm; Ostrza: zagięte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36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Alkohol izopropylowy; bezbarwny; czyszczenie; płyn; 500ml; 12°C 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37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PRF PRF-BRUSH - Szczotka; KONTAKT IPA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4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38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ENGINEER SS-10 - chwytak do złącz PCB; PCB; L:112mm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39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PLCC-EXTRACTOR - Narzędzie: do demontażu układów; PLCC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8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40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DONAU PZ12 - Narzędzie: do demontażu układów; DIP; 38mm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97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41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Generator 16 </w:t>
            </w:r>
            <w:proofErr w:type="spellStart"/>
            <w:r w:rsidRPr="00E67B9F">
              <w:t>Mhz</w:t>
            </w:r>
            <w:proofErr w:type="spellEnd"/>
            <w:r w:rsidRPr="00E67B9F">
              <w:t>, SMD, 3.3V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3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42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Zasilacz </w:t>
            </w:r>
            <w:proofErr w:type="spellStart"/>
            <w:r w:rsidRPr="00E67B9F">
              <w:t>dogniazdkowy</w:t>
            </w:r>
            <w:proofErr w:type="spellEnd"/>
            <w:r w:rsidRPr="00E67B9F">
              <w:t xml:space="preserve"> 5V, 4A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43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Płytka uniwersalna z </w:t>
            </w:r>
            <w:proofErr w:type="spellStart"/>
            <w:r w:rsidRPr="00E67B9F">
              <w:t>gestymi</w:t>
            </w:r>
            <w:proofErr w:type="spellEnd"/>
            <w:r w:rsidRPr="00E67B9F">
              <w:t xml:space="preserve"> padami SMD (potrzebne SSOP co najmniej 16)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44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 xml:space="preserve">Wyświetlacz dotykowy LCD ze sterownikiem i wbudowanym </w:t>
            </w:r>
            <w:proofErr w:type="spellStart"/>
            <w:r w:rsidRPr="00E67B9F">
              <w:t>dataloggerem</w:t>
            </w:r>
            <w:proofErr w:type="spellEnd"/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45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proofErr w:type="spellStart"/>
            <w:r w:rsidRPr="00E67B9F">
              <w:t>Glosniczek</w:t>
            </w:r>
            <w:proofErr w:type="spellEnd"/>
            <w:r w:rsidRPr="00E67B9F">
              <w:t xml:space="preserve"> 8 Ohm, 1W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1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46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proofErr w:type="spellStart"/>
            <w:r w:rsidRPr="00E67B9F">
              <w:t>Nózki</w:t>
            </w:r>
            <w:proofErr w:type="spellEnd"/>
            <w:r w:rsidRPr="00E67B9F">
              <w:t xml:space="preserve"> samoprzylepne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20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47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Mikrokontroler ATXmega128A1U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3</w:t>
            </w:r>
          </w:p>
        </w:tc>
      </w:tr>
      <w:tr w:rsidR="00E67B9F" w:rsidRPr="00E67B9F" w:rsidTr="00E67B9F">
        <w:trPr>
          <w:trHeight w:val="255"/>
          <w:jc w:val="center"/>
        </w:trPr>
        <w:tc>
          <w:tcPr>
            <w:tcW w:w="640" w:type="dxa"/>
            <w:noWrap/>
            <w:hideMark/>
          </w:tcPr>
          <w:p w:rsidR="00E67B9F" w:rsidRPr="00E67B9F" w:rsidRDefault="00E67B9F" w:rsidP="00E67B9F">
            <w:r w:rsidRPr="00E67B9F">
              <w:t>48</w:t>
            </w:r>
          </w:p>
        </w:tc>
        <w:tc>
          <w:tcPr>
            <w:tcW w:w="7140" w:type="dxa"/>
            <w:noWrap/>
            <w:hideMark/>
          </w:tcPr>
          <w:p w:rsidR="00E67B9F" w:rsidRPr="00E67B9F" w:rsidRDefault="00E67B9F" w:rsidP="00E67B9F">
            <w:r w:rsidRPr="00E67B9F">
              <w:t>Listwa kołkowa piętrowa</w:t>
            </w:r>
          </w:p>
        </w:tc>
        <w:tc>
          <w:tcPr>
            <w:tcW w:w="620" w:type="dxa"/>
            <w:noWrap/>
            <w:hideMark/>
          </w:tcPr>
          <w:p w:rsidR="00E67B9F" w:rsidRPr="00E67B9F" w:rsidRDefault="00E67B9F" w:rsidP="00E67B9F">
            <w:r w:rsidRPr="00E67B9F">
              <w:t>5</w:t>
            </w:r>
          </w:p>
        </w:tc>
      </w:tr>
    </w:tbl>
    <w:p w:rsidR="00433746" w:rsidRDefault="00433746" w:rsidP="00033AF3">
      <w:pPr>
        <w:spacing w:line="240" w:lineRule="auto"/>
      </w:pPr>
    </w:p>
    <w:p w:rsidR="00E67B9F" w:rsidRDefault="00E67B9F" w:rsidP="00491B36">
      <w:pPr>
        <w:spacing w:line="240" w:lineRule="auto"/>
        <w:rPr>
          <w:b/>
        </w:rPr>
      </w:pPr>
    </w:p>
    <w:p w:rsidR="00E67B9F" w:rsidRDefault="00E67B9F" w:rsidP="00491B36">
      <w:pPr>
        <w:spacing w:line="240" w:lineRule="auto"/>
        <w:rPr>
          <w:b/>
        </w:rPr>
      </w:pPr>
    </w:p>
    <w:p w:rsidR="00E67B9F" w:rsidRDefault="00E67B9F" w:rsidP="00491B36">
      <w:pPr>
        <w:spacing w:line="240" w:lineRule="auto"/>
        <w:rPr>
          <w:b/>
        </w:rPr>
      </w:pPr>
    </w:p>
    <w:p w:rsidR="00E67B9F" w:rsidRDefault="00E67B9F" w:rsidP="00491B36">
      <w:pPr>
        <w:spacing w:line="240" w:lineRule="auto"/>
        <w:rPr>
          <w:b/>
        </w:rPr>
      </w:pPr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lastRenderedPageBreak/>
        <w:t xml:space="preserve">SPOSÓB PRZYGOTOWANIA OFERTY </w:t>
      </w:r>
    </w:p>
    <w:p w:rsidR="00491B36" w:rsidRPr="00491B36" w:rsidRDefault="00491B36" w:rsidP="00491B36">
      <w:pPr>
        <w:spacing w:line="240" w:lineRule="auto"/>
      </w:pPr>
      <w:r w:rsidRPr="00491B36">
        <w:t xml:space="preserve">Oferta powinna zawierać: </w:t>
      </w:r>
    </w:p>
    <w:p w:rsidR="00491B36" w:rsidRPr="00491B36" w:rsidRDefault="00491B36" w:rsidP="00491B36">
      <w:pPr>
        <w:spacing w:line="240" w:lineRule="auto"/>
      </w:pPr>
      <w:r w:rsidRPr="00491B36">
        <w:t>- opis par</w:t>
      </w:r>
      <w:r w:rsidR="00425945">
        <w:t>ametrów</w:t>
      </w:r>
      <w:r w:rsidRPr="00491B36">
        <w:t xml:space="preserve">, </w:t>
      </w:r>
    </w:p>
    <w:p w:rsidR="00491B36" w:rsidRPr="00491B36" w:rsidRDefault="00E67B9F" w:rsidP="00491B36">
      <w:pPr>
        <w:spacing w:line="240" w:lineRule="auto"/>
      </w:pPr>
      <w:r>
        <w:t>- warunki gwarancji</w:t>
      </w:r>
      <w:r w:rsidR="00491B36" w:rsidRPr="00491B36">
        <w:t xml:space="preserve">, </w:t>
      </w:r>
    </w:p>
    <w:p w:rsidR="00491B36" w:rsidRPr="00491B36" w:rsidRDefault="00491B36" w:rsidP="00491B36">
      <w:pPr>
        <w:spacing w:line="240" w:lineRule="auto"/>
      </w:pPr>
      <w:r w:rsidRPr="00491B36">
        <w:t xml:space="preserve">- termin i warunki realizacji zamówienia, </w:t>
      </w:r>
    </w:p>
    <w:p w:rsidR="00491B36" w:rsidRDefault="00491B36" w:rsidP="00491B36">
      <w:pPr>
        <w:spacing w:line="240" w:lineRule="auto"/>
      </w:pPr>
      <w:r w:rsidRPr="00491B36">
        <w:t>- cenę.</w:t>
      </w:r>
    </w:p>
    <w:p w:rsidR="00491B36" w:rsidRDefault="00491B36" w:rsidP="00491B36">
      <w:pPr>
        <w:spacing w:line="240" w:lineRule="auto"/>
      </w:pPr>
      <w:r>
        <w:t xml:space="preserve">Oferta powinna być przesłana za pośrednictwem  poczty elektronicznej na adres: </w:t>
      </w:r>
    </w:p>
    <w:p w:rsidR="00491B36" w:rsidRDefault="003364B2" w:rsidP="00491B36">
      <w:pPr>
        <w:spacing w:line="240" w:lineRule="auto"/>
      </w:pPr>
      <w:hyperlink r:id="rId10" w:history="1">
        <w:r w:rsidR="007A4ACA" w:rsidRPr="007A4ACA">
          <w:rPr>
            <w:rStyle w:val="Hipercze"/>
          </w:rPr>
          <w:t>matias@copernicus.net.pl</w:t>
        </w:r>
      </w:hyperlink>
      <w:r w:rsidR="007A4ACA" w:rsidRPr="007A4ACA">
        <w:t xml:space="preserve"> </w:t>
      </w:r>
      <w:r w:rsidR="007A4ACA">
        <w:t xml:space="preserve"> </w:t>
      </w:r>
      <w:r w:rsidR="00E67B9F">
        <w:rPr>
          <w:b/>
        </w:rPr>
        <w:t>do dnia  22</w:t>
      </w:r>
      <w:r w:rsidR="007A4ACA">
        <w:rPr>
          <w:b/>
        </w:rPr>
        <w:t>.11</w:t>
      </w:r>
      <w:r w:rsidR="007300BB" w:rsidRPr="007300BB">
        <w:rPr>
          <w:b/>
        </w:rPr>
        <w:t>.2013 do godziny</w:t>
      </w:r>
      <w:r w:rsidR="00E67B9F">
        <w:rPr>
          <w:b/>
        </w:rPr>
        <w:t xml:space="preserve"> </w:t>
      </w:r>
      <w:r w:rsidR="007300BB" w:rsidRPr="007300BB">
        <w:rPr>
          <w:b/>
        </w:rPr>
        <w:t xml:space="preserve"> 12:00.</w:t>
      </w:r>
    </w:p>
    <w:p w:rsidR="00491B36" w:rsidRDefault="00491B36" w:rsidP="00491B36">
      <w:pPr>
        <w:spacing w:line="240" w:lineRule="auto"/>
        <w:rPr>
          <w:b/>
        </w:rPr>
      </w:pPr>
      <w:r>
        <w:t xml:space="preserve">W temacie proszę umieścić:  </w:t>
      </w:r>
      <w:r w:rsidR="00033AF3">
        <w:rPr>
          <w:b/>
        </w:rPr>
        <w:t xml:space="preserve">Oferta na dostawę </w:t>
      </w:r>
      <w:r w:rsidR="00E67B9F">
        <w:rPr>
          <w:b/>
        </w:rPr>
        <w:t>komponentów elektronicznych</w:t>
      </w:r>
    </w:p>
    <w:p w:rsidR="007A4ACA" w:rsidRDefault="007A4ACA" w:rsidP="00491B36">
      <w:pPr>
        <w:spacing w:line="240" w:lineRule="auto"/>
        <w:rPr>
          <w:b/>
        </w:rPr>
      </w:pPr>
      <w:r>
        <w:rPr>
          <w:b/>
        </w:rPr>
        <w:t>Uwaga!</w:t>
      </w:r>
    </w:p>
    <w:p w:rsidR="007A4ACA" w:rsidRDefault="007A4ACA" w:rsidP="00491B36">
      <w:pPr>
        <w:spacing w:line="240" w:lineRule="auto"/>
        <w:rPr>
          <w:b/>
        </w:rPr>
      </w:pPr>
      <w:r>
        <w:rPr>
          <w:b/>
        </w:rPr>
        <w:t>Nie dopuszcza się składania ofert na poszczególne elementy zestawu, jedynie na komplet.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rPr>
          <w:b/>
        </w:rPr>
      </w:pPr>
      <w:r w:rsidRPr="007300BB">
        <w:rPr>
          <w:b/>
        </w:rPr>
        <w:t xml:space="preserve">OCENA OFERT </w:t>
      </w:r>
    </w:p>
    <w:p w:rsidR="007300BB" w:rsidRDefault="007300BB" w:rsidP="007300BB">
      <w:pPr>
        <w:spacing w:line="240" w:lineRule="auto"/>
      </w:pPr>
      <w:r>
        <w:t xml:space="preserve">Zamawiający dokona oceny ważnych ofert biorąc pod uwagę następujące kryteria: </w:t>
      </w:r>
    </w:p>
    <w:p w:rsidR="007300BB" w:rsidRDefault="007300BB" w:rsidP="007300BB">
      <w:pPr>
        <w:spacing w:line="240" w:lineRule="auto"/>
      </w:pPr>
      <w:r>
        <w:t xml:space="preserve">1) cenę - 80% </w:t>
      </w:r>
    </w:p>
    <w:p w:rsidR="007300BB" w:rsidRDefault="007300BB" w:rsidP="007300BB">
      <w:pPr>
        <w:spacing w:line="240" w:lineRule="auto"/>
      </w:pPr>
      <w:r>
        <w:t>2) parametry urządzenia i wyposażenie - 20%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jc w:val="both"/>
        <w:rPr>
          <w:i/>
        </w:rPr>
      </w:pPr>
      <w:r w:rsidRPr="007300BB">
        <w:rPr>
          <w:i/>
        </w:rPr>
        <w:t>Złożenie zapytania ofertowego, jak też otrzymanie w wyniku zapytania oferty cenowej nie jest równoznaczne ze złożeniem zamówienia przez Zachodniopomors</w:t>
      </w:r>
      <w:r>
        <w:rPr>
          <w:i/>
        </w:rPr>
        <w:t>ki Uniwersytet Technologiczny w </w:t>
      </w:r>
      <w:r w:rsidRPr="007300BB">
        <w:rPr>
          <w:i/>
        </w:rPr>
        <w:t>Szczecinie i nie łączy się z koniecznością zawarcia przez niego umowy.</w:t>
      </w:r>
    </w:p>
    <w:sectPr w:rsidR="007300BB" w:rsidRPr="007300BB" w:rsidSect="00EA4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B2" w:rsidRDefault="003364B2" w:rsidP="00D33D88">
      <w:pPr>
        <w:spacing w:after="0" w:line="240" w:lineRule="auto"/>
      </w:pPr>
      <w:r>
        <w:separator/>
      </w:r>
    </w:p>
  </w:endnote>
  <w:endnote w:type="continuationSeparator" w:id="0">
    <w:p w:rsidR="003364B2" w:rsidRDefault="003364B2" w:rsidP="00D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B2" w:rsidRDefault="003364B2" w:rsidP="00D33D88">
      <w:pPr>
        <w:spacing w:after="0" w:line="240" w:lineRule="auto"/>
      </w:pPr>
      <w:r>
        <w:separator/>
      </w:r>
    </w:p>
  </w:footnote>
  <w:footnote w:type="continuationSeparator" w:id="0">
    <w:p w:rsidR="003364B2" w:rsidRDefault="003364B2" w:rsidP="00D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3F" w:rsidRDefault="009A3D60" w:rsidP="0065413F">
    <w:pPr>
      <w:pStyle w:val="Nagwek"/>
      <w:tabs>
        <w:tab w:val="left" w:pos="19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-354330</wp:posOffset>
          </wp:positionV>
          <wp:extent cx="2813050" cy="1028700"/>
          <wp:effectExtent l="0" t="0" r="6350" b="0"/>
          <wp:wrapThrough wrapText="bothSides">
            <wp:wrapPolygon edited="0">
              <wp:start x="0" y="0"/>
              <wp:lineTo x="0" y="21200"/>
              <wp:lineTo x="21502" y="21200"/>
              <wp:lineTo x="21502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T v.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-142240</wp:posOffset>
          </wp:positionV>
          <wp:extent cx="1905000" cy="546100"/>
          <wp:effectExtent l="0" t="0" r="0" b="6350"/>
          <wp:wrapThrough wrapText="bothSides">
            <wp:wrapPolygon edited="0">
              <wp:start x="0" y="0"/>
              <wp:lineTo x="0" y="21098"/>
              <wp:lineTo x="21384" y="21098"/>
              <wp:lineTo x="2138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-TECH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-140970</wp:posOffset>
          </wp:positionV>
          <wp:extent cx="2032000" cy="752475"/>
          <wp:effectExtent l="0" t="0" r="6350" b="9525"/>
          <wp:wrapThrough wrapText="bothSides">
            <wp:wrapPolygon edited="0">
              <wp:start x="0" y="0"/>
              <wp:lineTo x="0" y="21327"/>
              <wp:lineTo x="21465" y="21327"/>
              <wp:lineTo x="2146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CB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413F" w:rsidRDefault="0065413F" w:rsidP="0065413F">
    <w:pPr>
      <w:pStyle w:val="Nagwek"/>
      <w:tabs>
        <w:tab w:val="left" w:pos="1985"/>
      </w:tabs>
    </w:pPr>
  </w:p>
  <w:p w:rsidR="0065413F" w:rsidRDefault="0065413F" w:rsidP="0065413F">
    <w:pPr>
      <w:pStyle w:val="Nagwek"/>
      <w:tabs>
        <w:tab w:val="left" w:pos="1985"/>
      </w:tabs>
    </w:pPr>
  </w:p>
  <w:p w:rsidR="00D33D88" w:rsidRDefault="00D33D88" w:rsidP="0065413F">
    <w:pPr>
      <w:pStyle w:val="Nagwek"/>
      <w:tabs>
        <w:tab w:val="left" w:pos="1985"/>
      </w:tabs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Pr="009A3D60" w:rsidRDefault="009A3D60" w:rsidP="009A3D60">
    <w:pPr>
      <w:pStyle w:val="Nagwek"/>
      <w:tabs>
        <w:tab w:val="left" w:pos="1985"/>
      </w:tabs>
      <w:jc w:val="center"/>
      <w:rPr>
        <w:lang w:val="en-US"/>
      </w:rPr>
    </w:pPr>
    <w:r w:rsidRPr="009A3D60">
      <w:rPr>
        <w:lang w:val="en-US"/>
      </w:rPr>
      <w:t xml:space="preserve">Multifunctional </w:t>
    </w:r>
    <w:proofErr w:type="spellStart"/>
    <w:r w:rsidRPr="009A3D60">
      <w:rPr>
        <w:lang w:val="en-US"/>
      </w:rPr>
      <w:t>graphene</w:t>
    </w:r>
    <w:proofErr w:type="spellEnd"/>
    <w:r w:rsidRPr="009A3D60">
      <w:rPr>
        <w:lang w:val="en-US"/>
      </w:rPr>
      <w:t>-based biosensor for medical diagnosis</w:t>
    </w:r>
  </w:p>
  <w:p w:rsidR="009A3D60" w:rsidRPr="009A3D60" w:rsidRDefault="009A3D60" w:rsidP="0065413F">
    <w:pPr>
      <w:pStyle w:val="Nagwek"/>
      <w:tabs>
        <w:tab w:val="left" w:pos="1985"/>
      </w:tabs>
      <w:rPr>
        <w:lang w:val="en-US"/>
      </w:rPr>
    </w:pPr>
  </w:p>
  <w:p w:rsidR="009A3D60" w:rsidRDefault="009A3D60" w:rsidP="009A3D60">
    <w:pPr>
      <w:pStyle w:val="Nagwek"/>
      <w:tabs>
        <w:tab w:val="left" w:pos="1985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1750060</wp:posOffset>
          </wp:positionH>
          <wp:positionV relativeFrom="paragraph">
            <wp:posOffset>306705</wp:posOffset>
          </wp:positionV>
          <wp:extent cx="2505075" cy="810260"/>
          <wp:effectExtent l="0" t="0" r="9525" b="8890"/>
          <wp:wrapThrough wrapText="bothSides">
            <wp:wrapPolygon edited="0">
              <wp:start x="0" y="0"/>
              <wp:lineTo x="0" y="21329"/>
              <wp:lineTo x="21518" y="21329"/>
              <wp:lineTo x="2151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-SENSO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3D60">
      <w:t>Badania współfinansowane przez Narodowe Centrum Badań i Rozwoju w ramach projektu BI-SENSOR nr GRAF-TECH/NCBR/08/06/2013 realizowanego w latach 2013-2015.</w:t>
    </w: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9E1"/>
    <w:multiLevelType w:val="hybridMultilevel"/>
    <w:tmpl w:val="A05A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6EE6"/>
    <w:multiLevelType w:val="hybridMultilevel"/>
    <w:tmpl w:val="9C64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208D"/>
    <w:multiLevelType w:val="hybridMultilevel"/>
    <w:tmpl w:val="E8DE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605EC"/>
    <w:multiLevelType w:val="hybridMultilevel"/>
    <w:tmpl w:val="9A2C2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8"/>
    <w:rsid w:val="00033AF3"/>
    <w:rsid w:val="00056D07"/>
    <w:rsid w:val="001275E4"/>
    <w:rsid w:val="002167A0"/>
    <w:rsid w:val="002C2ADA"/>
    <w:rsid w:val="002C334C"/>
    <w:rsid w:val="002E5D91"/>
    <w:rsid w:val="003343D8"/>
    <w:rsid w:val="003364B2"/>
    <w:rsid w:val="00425945"/>
    <w:rsid w:val="00433746"/>
    <w:rsid w:val="00491B36"/>
    <w:rsid w:val="0065413F"/>
    <w:rsid w:val="006E4AB1"/>
    <w:rsid w:val="007300BB"/>
    <w:rsid w:val="007A4ACA"/>
    <w:rsid w:val="00861AED"/>
    <w:rsid w:val="00867A62"/>
    <w:rsid w:val="00972201"/>
    <w:rsid w:val="009A3D60"/>
    <w:rsid w:val="00BD4465"/>
    <w:rsid w:val="00C51875"/>
    <w:rsid w:val="00D33D88"/>
    <w:rsid w:val="00E67B9F"/>
    <w:rsid w:val="00E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Stopka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TekstdymkaZnak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  <w:style w:type="table" w:styleId="Tabela-Siatka">
    <w:name w:val="Table Grid"/>
    <w:basedOn w:val="Standardowy"/>
    <w:uiPriority w:val="59"/>
    <w:rsid w:val="00E6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Stopka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TekstdymkaZnak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  <w:style w:type="table" w:styleId="Tabela-Siatka">
    <w:name w:val="Table Grid"/>
    <w:basedOn w:val="Standardowy"/>
    <w:uiPriority w:val="59"/>
    <w:rsid w:val="00E6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ias@copernicus.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ias@copernicus.ne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7C8D-2663-488B-A4C8-9345678B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DM</cp:lastModifiedBy>
  <cp:revision>3</cp:revision>
  <dcterms:created xsi:type="dcterms:W3CDTF">2013-11-15T09:42:00Z</dcterms:created>
  <dcterms:modified xsi:type="dcterms:W3CDTF">2013-11-15T09:45:00Z</dcterms:modified>
</cp:coreProperties>
</file>