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4A" w:rsidRDefault="00EF414A" w:rsidP="00EF414A">
      <w:pPr>
        <w:spacing w:after="0"/>
        <w:jc w:val="center"/>
        <w:rPr>
          <w:rFonts w:cstheme="minorHAnsi"/>
          <w:b/>
          <w:bCs/>
        </w:rPr>
      </w:pPr>
      <w:r w:rsidRPr="00056C43">
        <w:rPr>
          <w:rFonts w:cstheme="minorHAnsi"/>
          <w:b/>
          <w:bCs/>
        </w:rPr>
        <w:t>OPIS TECHNICZNO-ZAKRESOWY PRZEDMIOTU ZAMÓWIENIA</w:t>
      </w:r>
    </w:p>
    <w:p w:rsidR="00107E54" w:rsidRDefault="00107E54" w:rsidP="00107E54">
      <w:pPr>
        <w:spacing w:after="0"/>
        <w:jc w:val="center"/>
        <w:rPr>
          <w:rFonts w:ascii="Calibri" w:eastAsia="Times New Roman" w:hAnsi="Calibri" w:cs="Arial"/>
          <w:lang w:eastAsia="pl-PL"/>
        </w:rPr>
      </w:pPr>
    </w:p>
    <w:p w:rsidR="00FC06FB" w:rsidRDefault="00FC06FB" w:rsidP="00FC06FB">
      <w:pPr>
        <w:pStyle w:val="NormalnyWeb"/>
        <w:spacing w:after="0" w:afterAutospacing="0" w:line="360" w:lineRule="auto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System dyfrakcji laserowej do pomiaru wielkości cząstek składający się z jednostki centralnej, układu dyspergującego wraz z akcesoriami oraz  jednostki sterującej</w:t>
      </w:r>
    </w:p>
    <w:p w:rsidR="00FC06FB" w:rsidRPr="00EB1976" w:rsidRDefault="00FC06FB" w:rsidP="00FC06FB">
      <w:pPr>
        <w:spacing w:before="100" w:beforeAutospacing="1" w:after="100" w:afterAutospacing="1" w:line="360" w:lineRule="auto"/>
        <w:rPr>
          <w:rFonts w:eastAsia="Times New Roman" w:cs="Times New Roman"/>
          <w:b/>
          <w:lang w:eastAsia="pl-PL"/>
        </w:rPr>
      </w:pPr>
      <w:r w:rsidRPr="00EB1976">
        <w:rPr>
          <w:rFonts w:eastAsia="Times New Roman" w:cs="Times New Roman"/>
          <w:b/>
          <w:lang w:eastAsia="pl-PL"/>
        </w:rPr>
        <w:t>Wymagane parametry techniczne:</w:t>
      </w:r>
    </w:p>
    <w:p w:rsidR="00FC06FB" w:rsidRPr="007A4C20" w:rsidRDefault="00FC06FB" w:rsidP="00FC06FB">
      <w:pPr>
        <w:pStyle w:val="NormalnyWeb"/>
        <w:spacing w:after="0" w:afterAutospacing="0"/>
        <w:rPr>
          <w:rFonts w:ascii="Calibri" w:hAnsi="Calibri"/>
          <w:sz w:val="22"/>
          <w:szCs w:val="22"/>
          <w:u w:val="single"/>
        </w:rPr>
      </w:pPr>
      <w:r w:rsidRPr="007A4C20">
        <w:rPr>
          <w:rFonts w:ascii="Calibri" w:hAnsi="Calibri"/>
          <w:sz w:val="22"/>
          <w:szCs w:val="22"/>
          <w:u w:val="single"/>
        </w:rPr>
        <w:t>Jednostka centralna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Pomiar rozkładu wielkości cząstek metodą dyfrakcji laserowej w całym zakresie pomiarowym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Pełna zgodność z normą ISO 13320 w całym zakresie pomiarowym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 xml:space="preserve">Zakres pomiarowy: przynajmniej 0,01 ─ 3500 µm 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Urządzenie jednoobiektywowe, bez konieczności zmiany obiektywu podczas pomiaru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Dwa źródła światła: jedno o długości fali większej niż 600 nm, drugie o długości fali mniejszej niż 500 nm dla zapewnienia wysokiej czułości na duże i małe cząstki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Zakres kątowy detekcji światła w analizatorze: przynajmniej 0,015 – 144 stopnie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Automatyczne osiowanie ścieżki optycznej dla pełnej automatyzacji pomiarów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Typowy czas pojedynczego pomiaru, w całym zakresie pomiarowym – krótszy niż 10 sekund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 xml:space="preserve">Częstotliwość zbierania danych: nie niższa </w:t>
      </w:r>
      <w:r w:rsidR="00115051">
        <w:rPr>
          <w:rFonts w:ascii="Calibri" w:hAnsi="Calibri"/>
          <w:sz w:val="22"/>
          <w:szCs w:val="22"/>
        </w:rPr>
        <w:t xml:space="preserve">niż </w:t>
      </w:r>
      <w:r w:rsidRPr="007A4C20">
        <w:rPr>
          <w:rFonts w:ascii="Calibri" w:hAnsi="Calibri"/>
          <w:sz w:val="22"/>
          <w:szCs w:val="22"/>
        </w:rPr>
        <w:t>10 kHz dla zapewnienia reprezentatywnego próbkowania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Pomiar prowadzony poprzez standardowe procedury pomiarowe, z możliwością przełączania na ręczny tryb pracy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Automatyczne wykrywanie podłączanych układów dyspersji</w:t>
      </w:r>
    </w:p>
    <w:p w:rsidR="00FC06FB" w:rsidRPr="007A4C20" w:rsidRDefault="00FC06FB" w:rsidP="00FC06FB">
      <w:pPr>
        <w:pStyle w:val="NormalnyWeb"/>
        <w:spacing w:beforeAutospacing="0" w:after="0" w:afterAutospacing="0"/>
        <w:ind w:left="720"/>
        <w:rPr>
          <w:rFonts w:ascii="Calibri" w:hAnsi="Calibri"/>
          <w:sz w:val="22"/>
          <w:szCs w:val="22"/>
        </w:rPr>
      </w:pPr>
    </w:p>
    <w:p w:rsidR="00FC06FB" w:rsidRPr="007A4C20" w:rsidRDefault="00FC06FB" w:rsidP="00FC06FB">
      <w:pPr>
        <w:pStyle w:val="NormalnyWeb"/>
        <w:spacing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  <w:u w:val="single"/>
        </w:rPr>
        <w:t>Układ do dyspersji cieczowych o większej objętośc</w:t>
      </w:r>
      <w:r w:rsidRPr="007A4C20">
        <w:rPr>
          <w:rFonts w:ascii="Calibri" w:hAnsi="Calibri"/>
          <w:sz w:val="22"/>
          <w:szCs w:val="22"/>
        </w:rPr>
        <w:t>i</w:t>
      </w:r>
    </w:p>
    <w:p w:rsidR="00FC06FB" w:rsidRPr="007A4C20" w:rsidRDefault="00FC06FB" w:rsidP="00FC06FB">
      <w:pPr>
        <w:pStyle w:val="NormalnyWeb"/>
        <w:numPr>
          <w:ilvl w:val="0"/>
          <w:numId w:val="28"/>
        </w:numPr>
        <w:spacing w:before="120" w:beforeAutospacing="0" w:after="0" w:afterAutospacing="0"/>
        <w:ind w:left="714" w:hanging="357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 xml:space="preserve">Możliwość zmiany objętości cieczy dyspergującej przynajmniej w zakresie: 300-1000 ml </w:t>
      </w:r>
    </w:p>
    <w:p w:rsidR="00FC06FB" w:rsidRPr="007A4C20" w:rsidRDefault="00FC06FB" w:rsidP="00FC06FB">
      <w:pPr>
        <w:pStyle w:val="NormalnyWeb"/>
        <w:numPr>
          <w:ilvl w:val="0"/>
          <w:numId w:val="28"/>
        </w:numPr>
        <w:spacing w:before="120" w:beforeAutospacing="0" w:after="0" w:afterAutospacing="0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Wbudowane mieszadło, pompa i sonda ultradźwiękowa z regulacją czasu i amplitudy ultradźwięków całkowicie sterowane przez oprogramowanie</w:t>
      </w:r>
    </w:p>
    <w:p w:rsidR="00FC06FB" w:rsidRPr="007A4C20" w:rsidRDefault="00FC06FB" w:rsidP="00FC06FB">
      <w:pPr>
        <w:numPr>
          <w:ilvl w:val="0"/>
          <w:numId w:val="28"/>
        </w:numPr>
        <w:spacing w:before="120" w:after="0" w:line="240" w:lineRule="auto"/>
        <w:ind w:left="714" w:hanging="357"/>
        <w:rPr>
          <w:rFonts w:ascii="Calibri" w:hAnsi="Calibri"/>
        </w:rPr>
      </w:pPr>
      <w:r w:rsidRPr="007A4C20">
        <w:rPr>
          <w:rFonts w:ascii="Calibri" w:hAnsi="Calibri"/>
        </w:rPr>
        <w:t>Możliwość stosowania cieczy dyspergujących innych niż woda (np. alkohole, oleje, parafiny itp.)</w:t>
      </w:r>
    </w:p>
    <w:p w:rsidR="00FC06FB" w:rsidRPr="007A4C20" w:rsidRDefault="00FC06FB" w:rsidP="00FC06FB">
      <w:pPr>
        <w:pStyle w:val="NormalnyWeb"/>
        <w:numPr>
          <w:ilvl w:val="0"/>
          <w:numId w:val="28"/>
        </w:numPr>
        <w:spacing w:before="120" w:beforeAutospacing="0" w:after="0" w:afterAutospacing="0"/>
        <w:ind w:left="714" w:hanging="357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Automatycznie blokująca się cela pomiarowa, umożliwiająca wyjęcie szkieł bez konieczności użycia narzędzi</w:t>
      </w:r>
    </w:p>
    <w:p w:rsidR="00FC06FB" w:rsidRPr="007A4C20" w:rsidRDefault="00FC06FB" w:rsidP="00FC06FB">
      <w:pPr>
        <w:pStyle w:val="NormalnyWeb"/>
        <w:spacing w:before="120" w:beforeAutospacing="0" w:after="0" w:afterAutospacing="0"/>
        <w:rPr>
          <w:rFonts w:ascii="Calibri" w:hAnsi="Calibri"/>
          <w:color w:val="A6A6A6"/>
          <w:sz w:val="22"/>
          <w:szCs w:val="22"/>
        </w:rPr>
      </w:pPr>
    </w:p>
    <w:p w:rsidR="00FC06FB" w:rsidRDefault="00FC06FB" w:rsidP="00FC06FB">
      <w:pPr>
        <w:pStyle w:val="NormalnyWeb"/>
        <w:spacing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Komputer sterujący</w:t>
      </w:r>
      <w:r w:rsidRPr="00580EB2">
        <w:rPr>
          <w:rFonts w:ascii="Calibri" w:hAnsi="Calibri"/>
          <w:sz w:val="22"/>
          <w:szCs w:val="22"/>
        </w:rPr>
        <w:t xml:space="preserve">  pracą jednostki centralnej powin</w:t>
      </w:r>
      <w:r>
        <w:rPr>
          <w:rFonts w:ascii="Calibri" w:hAnsi="Calibri"/>
          <w:sz w:val="22"/>
          <w:szCs w:val="22"/>
        </w:rPr>
        <w:t xml:space="preserve">ien </w:t>
      </w:r>
      <w:r w:rsidRPr="00580EB2">
        <w:rPr>
          <w:rFonts w:ascii="Calibri" w:hAnsi="Calibri"/>
          <w:sz w:val="22"/>
          <w:szCs w:val="22"/>
        </w:rPr>
        <w:t xml:space="preserve">spełniać minimalne wymagania techniczne określone przez </w:t>
      </w:r>
      <w:r>
        <w:rPr>
          <w:rFonts w:ascii="Calibri" w:hAnsi="Calibri"/>
          <w:sz w:val="22"/>
          <w:szCs w:val="22"/>
        </w:rPr>
        <w:t>producenta jednostki centralnej, zapewniające prawidłową i sprawną pracę jednostki centralnej</w:t>
      </w:r>
    </w:p>
    <w:p w:rsidR="00FC06FB" w:rsidRDefault="00FC06FB" w:rsidP="00FC06FB">
      <w:pPr>
        <w:pStyle w:val="NormalnyWeb"/>
        <w:spacing w:beforeAutospacing="0" w:after="0" w:afterAutospacing="0"/>
        <w:rPr>
          <w:rFonts w:ascii="Calibri" w:hAnsi="Calibri"/>
          <w:sz w:val="22"/>
          <w:szCs w:val="22"/>
          <w:u w:val="single"/>
        </w:rPr>
      </w:pPr>
    </w:p>
    <w:p w:rsidR="00FC06FB" w:rsidRDefault="00FC06FB" w:rsidP="00FC06FB">
      <w:pPr>
        <w:pStyle w:val="NormalnyWeb"/>
        <w:spacing w:beforeAutospacing="0" w:after="0" w:afterAutospacing="0"/>
        <w:rPr>
          <w:rFonts w:ascii="Calibri" w:hAnsi="Calibri"/>
          <w:sz w:val="22"/>
          <w:szCs w:val="22"/>
          <w:u w:val="single"/>
        </w:rPr>
      </w:pPr>
    </w:p>
    <w:p w:rsidR="00FC06FB" w:rsidRPr="00580EB2" w:rsidRDefault="00FC06FB" w:rsidP="00FC06FB">
      <w:pPr>
        <w:pStyle w:val="NormalnyWeb"/>
        <w:spacing w:beforeAutospacing="0" w:after="0" w:afterAutospacing="0"/>
        <w:rPr>
          <w:rFonts w:ascii="Calibri" w:hAnsi="Calibri"/>
          <w:sz w:val="22"/>
          <w:szCs w:val="22"/>
          <w:u w:val="single"/>
        </w:rPr>
      </w:pPr>
      <w:r w:rsidRPr="00580EB2">
        <w:rPr>
          <w:rFonts w:ascii="Calibri" w:hAnsi="Calibri"/>
          <w:sz w:val="22"/>
          <w:szCs w:val="22"/>
          <w:u w:val="single"/>
        </w:rPr>
        <w:lastRenderedPageBreak/>
        <w:t>Oprogramowanie</w:t>
      </w:r>
    </w:p>
    <w:p w:rsidR="00FC06FB" w:rsidRDefault="00FC06FB" w:rsidP="00FC06FB">
      <w:pPr>
        <w:pStyle w:val="NormalnyWeb"/>
        <w:numPr>
          <w:ilvl w:val="0"/>
          <w:numId w:val="27"/>
        </w:numPr>
        <w:spacing w:before="120" w:beforeAutospacing="0" w:after="0" w:afterAutospacing="0" w:line="276" w:lineRule="auto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Język „Interfejsu użytkownika” (w rozumieniu części programu umożliwiającego współpracę użytkownika z oprogramowaniem komputera sterującym pracą jednostki centralnej): język polski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="120" w:beforeAutospacing="0" w:after="0" w:afterAutospacing="0" w:line="276" w:lineRule="auto"/>
        <w:ind w:left="714" w:hanging="357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Oprogramowanie sterujące</w:t>
      </w:r>
      <w:r>
        <w:rPr>
          <w:rFonts w:ascii="Calibri" w:hAnsi="Calibri"/>
          <w:sz w:val="22"/>
          <w:szCs w:val="22"/>
        </w:rPr>
        <w:t xml:space="preserve">, </w:t>
      </w:r>
      <w:r w:rsidRPr="007A4C20">
        <w:rPr>
          <w:rFonts w:ascii="Calibri" w:hAnsi="Calibri"/>
          <w:sz w:val="22"/>
          <w:szCs w:val="22"/>
        </w:rPr>
        <w:t>obsługujące wszystkie niezbędne funkcje potrzebne dla przeprowadzenia pomiarów, uzyskiwania wyników i ich przechowywania</w:t>
      </w:r>
      <w:r>
        <w:rPr>
          <w:rFonts w:ascii="Calibri" w:hAnsi="Calibri"/>
          <w:sz w:val="22"/>
          <w:szCs w:val="22"/>
        </w:rPr>
        <w:t>, kompatybilne  z posiadanymi przez Zamawiającego urządzeniami pracującymi w środowisku Windows 7 i nowszym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="120" w:beforeAutospacing="0" w:after="0" w:afterAutospacing="0" w:line="276" w:lineRule="auto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obliczania</w:t>
      </w:r>
      <w:r w:rsidRPr="007A4C20">
        <w:rPr>
          <w:rFonts w:ascii="Calibri" w:hAnsi="Calibri"/>
          <w:sz w:val="22"/>
          <w:szCs w:val="22"/>
        </w:rPr>
        <w:t xml:space="preserve"> rozkładów wielkości cząstek w oparciu o teorię Mie oraz przybliżenie Fraunhofera</w:t>
      </w:r>
    </w:p>
    <w:p w:rsidR="00FC06FB" w:rsidRPr="007A4C20" w:rsidRDefault="00FC06FB" w:rsidP="00FC06FB">
      <w:pPr>
        <w:numPr>
          <w:ilvl w:val="0"/>
          <w:numId w:val="27"/>
        </w:numPr>
        <w:spacing w:before="120" w:after="0" w:line="240" w:lineRule="auto"/>
        <w:ind w:left="714" w:hanging="357"/>
        <w:rPr>
          <w:rFonts w:ascii="Calibri" w:hAnsi="Calibri"/>
        </w:rPr>
      </w:pPr>
      <w:r w:rsidRPr="007A4C20">
        <w:rPr>
          <w:rFonts w:ascii="Calibri" w:hAnsi="Calibri"/>
        </w:rPr>
        <w:t>Możliwość tworzenia i drukowania własnych raportów</w:t>
      </w:r>
      <w:r>
        <w:rPr>
          <w:rFonts w:ascii="Calibri" w:hAnsi="Calibri"/>
        </w:rPr>
        <w:t>,  w</w:t>
      </w:r>
      <w:r w:rsidRPr="007A4C20">
        <w:rPr>
          <w:rFonts w:ascii="Calibri" w:hAnsi="Calibri"/>
        </w:rPr>
        <w:t xml:space="preserve"> tym raportu o jakości uzyskanych wyników (podgląd krzywej dopasowania)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="120" w:beforeAutospacing="0" w:after="0" w:afterAutospacing="0" w:line="276" w:lineRule="auto"/>
        <w:ind w:left="714" w:hanging="357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Możliwość obróbki danych bez konieczności łączenia się z aparatem</w:t>
      </w:r>
    </w:p>
    <w:p w:rsidR="00FC06FB" w:rsidRPr="007A4C20" w:rsidRDefault="00FC06FB" w:rsidP="00FC06FB">
      <w:pPr>
        <w:numPr>
          <w:ilvl w:val="0"/>
          <w:numId w:val="27"/>
        </w:numPr>
        <w:spacing w:before="120" w:after="0" w:line="276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Możliwość łączenia</w:t>
      </w:r>
      <w:r w:rsidRPr="007A4C20">
        <w:rPr>
          <w:rFonts w:ascii="Calibri" w:hAnsi="Calibri"/>
        </w:rPr>
        <w:t xml:space="preserve"> wyników analizy rozkładu uziarnienia dokonywanych przy pomocy różnych</w:t>
      </w:r>
      <w:r>
        <w:rPr>
          <w:rFonts w:ascii="Calibri" w:hAnsi="Calibri"/>
        </w:rPr>
        <w:t xml:space="preserve"> metod np.: dyfrakcji laserowej z </w:t>
      </w:r>
      <w:r w:rsidRPr="007A4C20">
        <w:rPr>
          <w:rFonts w:ascii="Calibri" w:hAnsi="Calibri"/>
        </w:rPr>
        <w:t>analiz</w:t>
      </w:r>
      <w:r>
        <w:rPr>
          <w:rFonts w:ascii="Calibri" w:hAnsi="Calibri"/>
        </w:rPr>
        <w:t>ą sitową</w:t>
      </w:r>
    </w:p>
    <w:p w:rsidR="00FC06FB" w:rsidRPr="007A4C20" w:rsidRDefault="00FC06FB" w:rsidP="00FC06FB">
      <w:pPr>
        <w:numPr>
          <w:ilvl w:val="0"/>
          <w:numId w:val="27"/>
        </w:numPr>
        <w:spacing w:before="120" w:after="0" w:line="276" w:lineRule="auto"/>
        <w:ind w:left="714" w:hanging="357"/>
        <w:rPr>
          <w:rFonts w:ascii="Calibri" w:hAnsi="Calibri"/>
        </w:rPr>
      </w:pPr>
      <w:r w:rsidRPr="007A4C20">
        <w:rPr>
          <w:rFonts w:ascii="Calibri" w:hAnsi="Calibri"/>
        </w:rPr>
        <w:t>Optymalizator parametrów optycznych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="120" w:beforeAutospacing="0" w:after="0" w:afterAutospacing="0" w:line="276" w:lineRule="auto"/>
        <w:ind w:left="714" w:hanging="357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 xml:space="preserve">Licencja </w:t>
      </w:r>
      <w:r>
        <w:rPr>
          <w:rFonts w:ascii="Calibri" w:hAnsi="Calibri"/>
          <w:sz w:val="22"/>
          <w:szCs w:val="22"/>
        </w:rPr>
        <w:t xml:space="preserve">pełna, bezterminowa, </w:t>
      </w:r>
      <w:r w:rsidRPr="007A4C20">
        <w:rPr>
          <w:rFonts w:ascii="Calibri" w:hAnsi="Calibri"/>
          <w:sz w:val="22"/>
          <w:szCs w:val="22"/>
        </w:rPr>
        <w:t>wielostanowiskowa</w:t>
      </w:r>
    </w:p>
    <w:p w:rsidR="00FC06FB" w:rsidRPr="007A4C20" w:rsidRDefault="00FC06FB" w:rsidP="00FC06FB">
      <w:pPr>
        <w:pStyle w:val="NormalnyWeb"/>
        <w:numPr>
          <w:ilvl w:val="0"/>
          <w:numId w:val="27"/>
        </w:numPr>
        <w:spacing w:before="120" w:beforeAutospacing="0" w:after="0" w:afterAutospacing="0" w:line="276" w:lineRule="auto"/>
        <w:ind w:left="714" w:hanging="357"/>
        <w:rPr>
          <w:rFonts w:ascii="Calibri" w:hAnsi="Calibri"/>
          <w:sz w:val="22"/>
          <w:szCs w:val="22"/>
        </w:rPr>
      </w:pPr>
      <w:r w:rsidRPr="007A4C20">
        <w:rPr>
          <w:rFonts w:ascii="Calibri" w:hAnsi="Calibri"/>
          <w:sz w:val="22"/>
          <w:szCs w:val="22"/>
        </w:rPr>
        <w:t>Oprogramowanie pozwala na bieżąco obserwować rzeczywisty stan dyspersji podczas pomiaru od momentu wprowadzenia próbki do układu pomiarowego</w:t>
      </w:r>
    </w:p>
    <w:p w:rsidR="00FC06FB" w:rsidRPr="007A4C20" w:rsidRDefault="00FC06FB" w:rsidP="00FC06FB">
      <w:pPr>
        <w:pStyle w:val="NormalnyWeb"/>
        <w:spacing w:before="120" w:beforeAutospacing="0" w:after="0" w:afterAutospacing="0" w:line="276" w:lineRule="auto"/>
        <w:ind w:left="714"/>
        <w:rPr>
          <w:rFonts w:ascii="Calibri" w:hAnsi="Calibri"/>
          <w:sz w:val="22"/>
          <w:szCs w:val="22"/>
        </w:rPr>
      </w:pPr>
    </w:p>
    <w:p w:rsidR="00FC06FB" w:rsidRPr="007A4C20" w:rsidRDefault="00FC06FB" w:rsidP="00FC06FB">
      <w:pPr>
        <w:pStyle w:val="NormalnyWeb"/>
        <w:spacing w:beforeAutospacing="0" w:after="0" w:afterAutospacing="0"/>
        <w:rPr>
          <w:rFonts w:ascii="Calibri" w:hAnsi="Calibri"/>
          <w:sz w:val="22"/>
          <w:szCs w:val="22"/>
        </w:rPr>
      </w:pPr>
    </w:p>
    <w:p w:rsidR="00FC06FB" w:rsidRPr="00173AD4" w:rsidRDefault="00FC06FB" w:rsidP="00FC06FB">
      <w:pPr>
        <w:pStyle w:val="NormalnyWeb"/>
        <w:spacing w:beforeAutospacing="0" w:after="0" w:afterAutospacing="0"/>
        <w:rPr>
          <w:rFonts w:ascii="Calibri" w:hAnsi="Calibri"/>
          <w:sz w:val="22"/>
          <w:szCs w:val="22"/>
          <w:u w:val="single"/>
        </w:rPr>
      </w:pPr>
      <w:r w:rsidRPr="00173AD4">
        <w:rPr>
          <w:rFonts w:ascii="Calibri" w:hAnsi="Calibri"/>
          <w:sz w:val="22"/>
          <w:szCs w:val="22"/>
          <w:u w:val="single"/>
        </w:rPr>
        <w:t>Inne wymagania</w:t>
      </w:r>
    </w:p>
    <w:p w:rsidR="008A17FD" w:rsidRPr="00974E01" w:rsidRDefault="008A17FD" w:rsidP="008A17FD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974E01">
        <w:rPr>
          <w:rFonts w:ascii="Calibri" w:hAnsi="Calibri"/>
          <w:sz w:val="22"/>
          <w:szCs w:val="22"/>
        </w:rPr>
        <w:t>Certyfikowane wzorce do sprawdzenia poprawności działania aparatu, tj. poprawności mierzenia wielkości cząstek w oferowanym zakresie – minimum 1 sztuka</w:t>
      </w:r>
    </w:p>
    <w:p w:rsidR="008A17FD" w:rsidRPr="00974E01" w:rsidRDefault="008A17FD" w:rsidP="008A17FD">
      <w:pPr>
        <w:pStyle w:val="NormalnyWeb"/>
        <w:numPr>
          <w:ilvl w:val="0"/>
          <w:numId w:val="27"/>
        </w:numPr>
        <w:spacing w:beforeAutospacing="0" w:after="0" w:afterAutospacing="0"/>
        <w:rPr>
          <w:rFonts w:ascii="Calibri" w:hAnsi="Calibri"/>
          <w:sz w:val="22"/>
          <w:szCs w:val="22"/>
        </w:rPr>
      </w:pPr>
      <w:r w:rsidRPr="00974E01">
        <w:rPr>
          <w:rFonts w:ascii="Calibri" w:hAnsi="Calibri"/>
          <w:sz w:val="22"/>
          <w:szCs w:val="22"/>
        </w:rPr>
        <w:t>System powinien posiadać możliwość rozbudowy  o:</w:t>
      </w:r>
    </w:p>
    <w:p w:rsidR="008A17FD" w:rsidRPr="008A17FD" w:rsidRDefault="008A17FD" w:rsidP="008A17FD">
      <w:pPr>
        <w:pStyle w:val="NormalnyWeb"/>
        <w:spacing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974E01">
        <w:rPr>
          <w:rFonts w:ascii="Calibri" w:hAnsi="Calibri"/>
          <w:sz w:val="22"/>
          <w:szCs w:val="22"/>
        </w:rPr>
        <w:t xml:space="preserve">- układ do dyspersji cieczowych o małej objętości </w:t>
      </w:r>
      <w:r w:rsidRPr="008A17FD">
        <w:rPr>
          <w:rFonts w:ascii="Calibri" w:hAnsi="Calibri"/>
          <w:sz w:val="22"/>
          <w:szCs w:val="22"/>
        </w:rPr>
        <w:t>(z zakresu poniżej 10 ml);</w:t>
      </w:r>
    </w:p>
    <w:p w:rsidR="008A17FD" w:rsidRPr="008A17FD" w:rsidRDefault="008A17FD" w:rsidP="008A17FD">
      <w:pPr>
        <w:pStyle w:val="NormalnyWeb"/>
        <w:spacing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8A17FD">
        <w:rPr>
          <w:rFonts w:ascii="Calibri" w:hAnsi="Calibri"/>
          <w:sz w:val="22"/>
          <w:szCs w:val="22"/>
        </w:rPr>
        <w:t>- jednostkę wizualizującą dyspersję cieczową;</w:t>
      </w:r>
    </w:p>
    <w:p w:rsidR="008A17FD" w:rsidRPr="008A17FD" w:rsidRDefault="008A17FD" w:rsidP="008A17FD">
      <w:pPr>
        <w:pStyle w:val="NormalnyWeb"/>
        <w:spacing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8A17FD">
        <w:rPr>
          <w:rFonts w:ascii="Calibri" w:hAnsi="Calibri"/>
          <w:sz w:val="22"/>
          <w:szCs w:val="22"/>
        </w:rPr>
        <w:t>- układ dyspersji powietrznych.</w:t>
      </w:r>
    </w:p>
    <w:p w:rsidR="00FC06FB" w:rsidRPr="000E0666" w:rsidRDefault="00FC06FB" w:rsidP="00FC06FB">
      <w:pPr>
        <w:pStyle w:val="NormalnyWeb"/>
        <w:spacing w:beforeAutospacing="0" w:after="0" w:afterAutospacing="0"/>
        <w:ind w:left="720"/>
        <w:rPr>
          <w:rFonts w:ascii="Calibri" w:hAnsi="Calibri"/>
          <w:color w:val="FF0000"/>
          <w:sz w:val="22"/>
          <w:szCs w:val="22"/>
        </w:rPr>
      </w:pPr>
      <w:bookmarkStart w:id="0" w:name="_GoBack"/>
      <w:bookmarkEnd w:id="0"/>
    </w:p>
    <w:sectPr w:rsidR="00FC06FB" w:rsidRPr="000E0666" w:rsidSect="001D7A0F">
      <w:headerReference w:type="default" r:id="rId7"/>
      <w:footerReference w:type="default" r:id="rId8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21" w:rsidRDefault="00430121" w:rsidP="00107E54">
      <w:pPr>
        <w:spacing w:after="0" w:line="240" w:lineRule="auto"/>
      </w:pPr>
      <w:r>
        <w:separator/>
      </w:r>
    </w:p>
  </w:endnote>
  <w:endnote w:type="continuationSeparator" w:id="0">
    <w:p w:rsidR="00430121" w:rsidRDefault="00430121" w:rsidP="0010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375555"/>
      <w:docPartObj>
        <w:docPartGallery w:val="Page Numbers (Bottom of Page)"/>
        <w:docPartUnique/>
      </w:docPartObj>
    </w:sdtPr>
    <w:sdtEndPr/>
    <w:sdtContent>
      <w:p w:rsidR="00007D2D" w:rsidRDefault="00007D2D" w:rsidP="00007D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FD">
          <w:rPr>
            <w:noProof/>
          </w:rPr>
          <w:t>2</w:t>
        </w:r>
        <w:r>
          <w:fldChar w:fldCharType="end"/>
        </w:r>
      </w:p>
    </w:sdtContent>
  </w:sdt>
  <w:p w:rsidR="00007D2D" w:rsidRDefault="0000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21" w:rsidRDefault="00430121" w:rsidP="00107E54">
      <w:pPr>
        <w:spacing w:after="0" w:line="240" w:lineRule="auto"/>
      </w:pPr>
      <w:r>
        <w:separator/>
      </w:r>
    </w:p>
  </w:footnote>
  <w:footnote w:type="continuationSeparator" w:id="0">
    <w:p w:rsidR="00430121" w:rsidRDefault="00430121" w:rsidP="0010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FB" w:rsidRDefault="00FC06FB" w:rsidP="00FC06FB">
    <w:pPr>
      <w:tabs>
        <w:tab w:val="center" w:pos="4536"/>
        <w:tab w:val="right" w:pos="9072"/>
      </w:tabs>
      <w:jc w:val="both"/>
      <w:rPr>
        <w:rFonts w:ascii="Calibri" w:hAnsi="Calibri" w:cs="Calibri"/>
        <w:bCs/>
        <w:i/>
        <w:iCs/>
      </w:rPr>
    </w:pPr>
    <w:r>
      <w:rPr>
        <w:rFonts w:ascii="Calibri" w:hAnsi="Calibri" w:cs="Calibri"/>
      </w:rPr>
      <w:t>Dotyczy: Zapytanie ofertowe na dostawę analizatora wielkości cząstek z wyposażeniem.</w:t>
    </w:r>
    <w:r>
      <w:rPr>
        <w:rFonts w:ascii="Calibri" w:hAnsi="Calibri" w:cs="Calibri"/>
        <w:bCs/>
        <w:i/>
        <w:iCs/>
      </w:rPr>
      <w:t xml:space="preserve"> </w:t>
    </w:r>
  </w:p>
  <w:p w:rsidR="00FC06FB" w:rsidRDefault="00FC06FB" w:rsidP="00FC06FB">
    <w:pPr>
      <w:tabs>
        <w:tab w:val="center" w:pos="4536"/>
        <w:tab w:val="right" w:pos="9072"/>
      </w:tabs>
      <w:jc w:val="both"/>
      <w:rPr>
        <w:rFonts w:ascii="Calibri" w:hAnsi="Calibri" w:cs="Calibri"/>
      </w:rPr>
    </w:pPr>
    <w:r>
      <w:rPr>
        <w:rFonts w:ascii="Calibri" w:hAnsi="Calibri" w:cs="Calibri"/>
        <w:bCs/>
        <w:i/>
        <w:iCs/>
      </w:rPr>
      <w:t>Znak (numer referencyjny) sprawy</w:t>
    </w:r>
    <w:r>
      <w:rPr>
        <w:rFonts w:ascii="Calibri" w:hAnsi="Calibri" w:cs="Calibri"/>
        <w:i/>
      </w:rPr>
      <w:t>: ZP/WTiICH/590/2019</w:t>
    </w:r>
  </w:p>
  <w:p w:rsidR="00107E54" w:rsidRDefault="00107E54" w:rsidP="00FC06FB">
    <w:pPr>
      <w:tabs>
        <w:tab w:val="center" w:pos="4536"/>
        <w:tab w:val="right" w:pos="9072"/>
      </w:tabs>
    </w:pPr>
    <w:r w:rsidRPr="00EF2D6F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  <w:b/>
        <w:bCs/>
      </w:rPr>
      <w:t>1</w:t>
    </w:r>
    <w:r w:rsidRPr="00EF2D6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557"/>
    <w:multiLevelType w:val="hybridMultilevel"/>
    <w:tmpl w:val="FDF424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73D4B"/>
    <w:multiLevelType w:val="hybridMultilevel"/>
    <w:tmpl w:val="28B640E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5A42AE"/>
    <w:multiLevelType w:val="hybridMultilevel"/>
    <w:tmpl w:val="5DAC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BFD"/>
    <w:multiLevelType w:val="hybridMultilevel"/>
    <w:tmpl w:val="E6DE7D48"/>
    <w:lvl w:ilvl="0" w:tplc="AD842D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43A"/>
    <w:multiLevelType w:val="hybridMultilevel"/>
    <w:tmpl w:val="CFDCEAF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64557F"/>
    <w:multiLevelType w:val="hybridMultilevel"/>
    <w:tmpl w:val="869A35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94593"/>
    <w:multiLevelType w:val="hybridMultilevel"/>
    <w:tmpl w:val="B70CD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6BA"/>
    <w:multiLevelType w:val="hybridMultilevel"/>
    <w:tmpl w:val="6504E73E"/>
    <w:lvl w:ilvl="0" w:tplc="C520D53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7EFB"/>
    <w:multiLevelType w:val="multilevel"/>
    <w:tmpl w:val="94AE8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F7771F"/>
    <w:multiLevelType w:val="hybridMultilevel"/>
    <w:tmpl w:val="4E44164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9F249B"/>
    <w:multiLevelType w:val="hybridMultilevel"/>
    <w:tmpl w:val="069E2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3B33"/>
    <w:multiLevelType w:val="hybridMultilevel"/>
    <w:tmpl w:val="48765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16130"/>
    <w:multiLevelType w:val="hybridMultilevel"/>
    <w:tmpl w:val="63B460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C5D"/>
    <w:multiLevelType w:val="hybridMultilevel"/>
    <w:tmpl w:val="F3E6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9238A"/>
    <w:multiLevelType w:val="hybridMultilevel"/>
    <w:tmpl w:val="C81A03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A73854"/>
    <w:multiLevelType w:val="multilevel"/>
    <w:tmpl w:val="6FF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647C5"/>
    <w:multiLevelType w:val="hybridMultilevel"/>
    <w:tmpl w:val="1ACE998E"/>
    <w:lvl w:ilvl="0" w:tplc="0415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7" w15:restartNumberingAfterBreak="0">
    <w:nsid w:val="67127AB7"/>
    <w:multiLevelType w:val="hybridMultilevel"/>
    <w:tmpl w:val="437439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2ACA"/>
    <w:multiLevelType w:val="hybridMultilevel"/>
    <w:tmpl w:val="09C8B04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FC061E7"/>
    <w:multiLevelType w:val="hybridMultilevel"/>
    <w:tmpl w:val="B4E6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F29C7"/>
    <w:multiLevelType w:val="hybridMultilevel"/>
    <w:tmpl w:val="EFE4C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B60"/>
    <w:multiLevelType w:val="hybridMultilevel"/>
    <w:tmpl w:val="92D6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A2B1D"/>
    <w:multiLevelType w:val="multilevel"/>
    <w:tmpl w:val="A6BA9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7B68D2"/>
    <w:multiLevelType w:val="hybridMultilevel"/>
    <w:tmpl w:val="231AFD7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8257801"/>
    <w:multiLevelType w:val="hybridMultilevel"/>
    <w:tmpl w:val="0D082B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150E1"/>
    <w:multiLevelType w:val="hybridMultilevel"/>
    <w:tmpl w:val="28800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726D4"/>
    <w:multiLevelType w:val="hybridMultilevel"/>
    <w:tmpl w:val="97504D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18"/>
  </w:num>
  <w:num w:numId="14">
    <w:abstractNumId w:val="14"/>
  </w:num>
  <w:num w:numId="15">
    <w:abstractNumId w:val="4"/>
  </w:num>
  <w:num w:numId="16">
    <w:abstractNumId w:val="24"/>
  </w:num>
  <w:num w:numId="17">
    <w:abstractNumId w:val="21"/>
  </w:num>
  <w:num w:numId="18">
    <w:abstractNumId w:val="10"/>
  </w:num>
  <w:num w:numId="19">
    <w:abstractNumId w:val="20"/>
  </w:num>
  <w:num w:numId="20">
    <w:abstractNumId w:val="26"/>
  </w:num>
  <w:num w:numId="21">
    <w:abstractNumId w:val="19"/>
  </w:num>
  <w:num w:numId="22">
    <w:abstractNumId w:val="17"/>
  </w:num>
  <w:num w:numId="23">
    <w:abstractNumId w:val="9"/>
  </w:num>
  <w:num w:numId="24">
    <w:abstractNumId w:val="12"/>
  </w:num>
  <w:num w:numId="25">
    <w:abstractNumId w:val="6"/>
  </w:num>
  <w:num w:numId="26">
    <w:abstractNumId w:val="25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54"/>
    <w:rsid w:val="00003485"/>
    <w:rsid w:val="00007D2D"/>
    <w:rsid w:val="000D4354"/>
    <w:rsid w:val="00107E54"/>
    <w:rsid w:val="00115051"/>
    <w:rsid w:val="001D7A0F"/>
    <w:rsid w:val="00247172"/>
    <w:rsid w:val="003234A8"/>
    <w:rsid w:val="00430121"/>
    <w:rsid w:val="00580D1A"/>
    <w:rsid w:val="006157ED"/>
    <w:rsid w:val="00621C54"/>
    <w:rsid w:val="0069010F"/>
    <w:rsid w:val="00714F0F"/>
    <w:rsid w:val="008741A0"/>
    <w:rsid w:val="008A17FD"/>
    <w:rsid w:val="009208EA"/>
    <w:rsid w:val="00A131EE"/>
    <w:rsid w:val="00A144EB"/>
    <w:rsid w:val="00A86F7A"/>
    <w:rsid w:val="00AF3F80"/>
    <w:rsid w:val="00B52DA6"/>
    <w:rsid w:val="00BA3246"/>
    <w:rsid w:val="00BD75CC"/>
    <w:rsid w:val="00CB6731"/>
    <w:rsid w:val="00D7711C"/>
    <w:rsid w:val="00DF6436"/>
    <w:rsid w:val="00EB1976"/>
    <w:rsid w:val="00EF414A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0C67"/>
  <w15:chartTrackingRefBased/>
  <w15:docId w15:val="{33C3E872-9BD6-4757-9236-7321AF3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3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E54"/>
  </w:style>
  <w:style w:type="paragraph" w:styleId="Stopka">
    <w:name w:val="footer"/>
    <w:basedOn w:val="Normalny"/>
    <w:link w:val="Stopka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E54"/>
  </w:style>
  <w:style w:type="paragraph" w:styleId="Tekstdymka">
    <w:name w:val="Balloon Text"/>
    <w:basedOn w:val="Normalny"/>
    <w:link w:val="TekstdymkaZnak"/>
    <w:uiPriority w:val="99"/>
    <w:semiHidden/>
    <w:unhideWhenUsed/>
    <w:rsid w:val="00AF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8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FC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Fijałkowski</dc:creator>
  <cp:keywords/>
  <dc:description/>
  <cp:lastModifiedBy>Agnieszka Orłowska</cp:lastModifiedBy>
  <cp:revision>8</cp:revision>
  <cp:lastPrinted>2019-09-11T10:01:00Z</cp:lastPrinted>
  <dcterms:created xsi:type="dcterms:W3CDTF">2019-09-13T16:33:00Z</dcterms:created>
  <dcterms:modified xsi:type="dcterms:W3CDTF">2019-09-27T12:28:00Z</dcterms:modified>
</cp:coreProperties>
</file>